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6E2C" w14:textId="69F3FA20" w:rsidR="00A62D6F" w:rsidRPr="00903BE7" w:rsidRDefault="00A62D6F" w:rsidP="00A62D6F">
      <w:pPr>
        <w:spacing w:before="468"/>
        <w:ind w:left="861" w:right="1151"/>
        <w:jc w:val="center"/>
        <w:rPr>
          <w:rFonts w:ascii="Cambria" w:hAnsi="Cambria"/>
          <w:sz w:val="40"/>
        </w:rPr>
      </w:pPr>
      <w:r w:rsidRPr="00903BE7">
        <w:rPr>
          <w:rFonts w:ascii="Cambria" w:hAnsi="Cambria"/>
          <w:sz w:val="40"/>
        </w:rPr>
        <w:t>[Applicant</w:t>
      </w:r>
      <w:r w:rsidRPr="00903BE7">
        <w:rPr>
          <w:rFonts w:ascii="Cambria" w:hAnsi="Cambria"/>
          <w:spacing w:val="-5"/>
          <w:sz w:val="40"/>
        </w:rPr>
        <w:t xml:space="preserve"> </w:t>
      </w:r>
      <w:r w:rsidRPr="00903BE7">
        <w:rPr>
          <w:rFonts w:ascii="Cambria" w:hAnsi="Cambria"/>
          <w:sz w:val="40"/>
        </w:rPr>
        <w:t>Letterhead]</w:t>
      </w:r>
    </w:p>
    <w:p w14:paraId="1D1988EE" w14:textId="77777777" w:rsidR="0046183D" w:rsidRPr="00903BE7" w:rsidRDefault="0046183D" w:rsidP="00A62D6F">
      <w:pPr>
        <w:pStyle w:val="BodyText"/>
        <w:spacing w:before="101"/>
        <w:ind w:left="167"/>
        <w:rPr>
          <w:sz w:val="24"/>
          <w:szCs w:val="24"/>
        </w:rPr>
      </w:pPr>
    </w:p>
    <w:p w14:paraId="75E44FA4" w14:textId="77777777" w:rsidR="0046183D" w:rsidRPr="00903BE7" w:rsidRDefault="0046183D" w:rsidP="00A62D6F">
      <w:pPr>
        <w:pStyle w:val="BodyText"/>
        <w:spacing w:before="101"/>
        <w:ind w:left="167"/>
        <w:rPr>
          <w:sz w:val="24"/>
          <w:szCs w:val="24"/>
        </w:rPr>
      </w:pPr>
    </w:p>
    <w:p w14:paraId="106831BC" w14:textId="52D048F4" w:rsidR="00A62D6F" w:rsidRPr="00903BE7" w:rsidRDefault="00A62D6F" w:rsidP="00903BE7">
      <w:pPr>
        <w:pStyle w:val="BodyText"/>
        <w:spacing w:before="101"/>
        <w:rPr>
          <w:sz w:val="24"/>
          <w:szCs w:val="24"/>
        </w:rPr>
      </w:pPr>
      <w:r w:rsidRPr="00903BE7">
        <w:rPr>
          <w:sz w:val="24"/>
          <w:szCs w:val="24"/>
        </w:rPr>
        <w:t>[</w:t>
      </w:r>
      <w:r w:rsidRPr="00903BE7">
        <w:rPr>
          <w:color w:val="000000"/>
          <w:sz w:val="24"/>
          <w:szCs w:val="24"/>
          <w:shd w:val="clear" w:color="auto" w:fill="FFFF00"/>
        </w:rPr>
        <w:t>Date</w:t>
      </w:r>
      <w:r w:rsidRPr="00903BE7">
        <w:rPr>
          <w:color w:val="000000"/>
          <w:sz w:val="24"/>
          <w:szCs w:val="24"/>
        </w:rPr>
        <w:t>]</w:t>
      </w:r>
    </w:p>
    <w:p w14:paraId="0848B0BF" w14:textId="77777777" w:rsidR="00A62D6F" w:rsidRPr="00903BE7" w:rsidRDefault="00A62D6F" w:rsidP="00A62D6F">
      <w:pPr>
        <w:pStyle w:val="BodyText"/>
        <w:rPr>
          <w:sz w:val="24"/>
          <w:szCs w:val="24"/>
        </w:rPr>
      </w:pPr>
    </w:p>
    <w:p w14:paraId="67B152BF" w14:textId="77777777" w:rsidR="00A62D6F" w:rsidRPr="00903BE7" w:rsidRDefault="00A62D6F" w:rsidP="00A62D6F">
      <w:pPr>
        <w:pStyle w:val="BodyText"/>
        <w:rPr>
          <w:sz w:val="24"/>
          <w:szCs w:val="24"/>
        </w:rPr>
      </w:pPr>
    </w:p>
    <w:p w14:paraId="18C04E8B" w14:textId="77777777" w:rsidR="00A62D6F" w:rsidRPr="00903BE7" w:rsidRDefault="00A62D6F" w:rsidP="00903BE7">
      <w:pPr>
        <w:pStyle w:val="BodyText"/>
        <w:rPr>
          <w:sz w:val="24"/>
          <w:szCs w:val="24"/>
        </w:rPr>
      </w:pPr>
      <w:r w:rsidRPr="00903BE7">
        <w:rPr>
          <w:sz w:val="24"/>
          <w:szCs w:val="24"/>
        </w:rPr>
        <w:t>Idaho</w:t>
      </w:r>
      <w:r w:rsidRPr="00903BE7">
        <w:rPr>
          <w:spacing w:val="-3"/>
          <w:sz w:val="24"/>
          <w:szCs w:val="24"/>
        </w:rPr>
        <w:t xml:space="preserve"> </w:t>
      </w:r>
      <w:r w:rsidRPr="00903BE7">
        <w:rPr>
          <w:sz w:val="24"/>
          <w:szCs w:val="24"/>
        </w:rPr>
        <w:t>State</w:t>
      </w:r>
      <w:r w:rsidRPr="00903BE7">
        <w:rPr>
          <w:spacing w:val="-1"/>
          <w:sz w:val="24"/>
          <w:szCs w:val="24"/>
        </w:rPr>
        <w:t xml:space="preserve"> </w:t>
      </w:r>
      <w:r w:rsidRPr="00903BE7">
        <w:rPr>
          <w:sz w:val="24"/>
          <w:szCs w:val="24"/>
        </w:rPr>
        <w:t>Police</w:t>
      </w:r>
    </w:p>
    <w:p w14:paraId="66B3AE28" w14:textId="0DC1F205" w:rsidR="0046183D" w:rsidRPr="00903BE7" w:rsidRDefault="001F1FAA" w:rsidP="00903BE7">
      <w:pPr>
        <w:pStyle w:val="BodyText"/>
        <w:spacing w:before="1"/>
        <w:rPr>
          <w:spacing w:val="-49"/>
          <w:sz w:val="24"/>
          <w:szCs w:val="24"/>
        </w:rPr>
      </w:pPr>
      <w:r>
        <w:rPr>
          <w:sz w:val="24"/>
          <w:szCs w:val="24"/>
        </w:rPr>
        <w:t>Pass-</w:t>
      </w:r>
      <w:r w:rsidR="008A0436">
        <w:rPr>
          <w:sz w:val="24"/>
          <w:szCs w:val="24"/>
        </w:rPr>
        <w:t>T</w:t>
      </w:r>
      <w:r>
        <w:rPr>
          <w:sz w:val="24"/>
          <w:szCs w:val="24"/>
        </w:rPr>
        <w:t>hrough</w:t>
      </w:r>
      <w:r w:rsidR="00A62D6F" w:rsidRPr="00903BE7">
        <w:rPr>
          <w:sz w:val="24"/>
          <w:szCs w:val="24"/>
        </w:rPr>
        <w:t xml:space="preserve"> Grants and Research</w:t>
      </w:r>
      <w:r w:rsidR="00A62D6F" w:rsidRPr="00903BE7">
        <w:rPr>
          <w:spacing w:val="-49"/>
          <w:sz w:val="24"/>
          <w:szCs w:val="24"/>
        </w:rPr>
        <w:t xml:space="preserve"> </w:t>
      </w:r>
    </w:p>
    <w:p w14:paraId="5DCE932B" w14:textId="77777777" w:rsidR="0046183D" w:rsidRPr="00903BE7" w:rsidRDefault="00A62D6F" w:rsidP="00903BE7">
      <w:pPr>
        <w:pStyle w:val="BodyText"/>
        <w:spacing w:before="1"/>
        <w:rPr>
          <w:spacing w:val="1"/>
          <w:sz w:val="24"/>
          <w:szCs w:val="24"/>
        </w:rPr>
      </w:pPr>
      <w:r w:rsidRPr="00903BE7">
        <w:rPr>
          <w:sz w:val="24"/>
          <w:szCs w:val="24"/>
        </w:rPr>
        <w:t>700 S. Stratford Drive</w:t>
      </w:r>
      <w:r w:rsidRPr="00903BE7">
        <w:rPr>
          <w:spacing w:val="1"/>
          <w:sz w:val="24"/>
          <w:szCs w:val="24"/>
        </w:rPr>
        <w:t xml:space="preserve"> </w:t>
      </w:r>
    </w:p>
    <w:p w14:paraId="2491E637" w14:textId="162D2AC5" w:rsidR="00A62D6F" w:rsidRPr="00903BE7" w:rsidRDefault="00A62D6F" w:rsidP="00903BE7">
      <w:pPr>
        <w:pStyle w:val="BodyText"/>
        <w:spacing w:before="1"/>
        <w:rPr>
          <w:sz w:val="24"/>
          <w:szCs w:val="24"/>
        </w:rPr>
      </w:pPr>
      <w:r w:rsidRPr="00903BE7">
        <w:rPr>
          <w:sz w:val="24"/>
          <w:szCs w:val="24"/>
        </w:rPr>
        <w:t>Meridian,</w:t>
      </w:r>
      <w:r w:rsidRPr="00903BE7">
        <w:rPr>
          <w:spacing w:val="-1"/>
          <w:sz w:val="24"/>
          <w:szCs w:val="24"/>
        </w:rPr>
        <w:t xml:space="preserve"> </w:t>
      </w:r>
      <w:r w:rsidRPr="00903BE7">
        <w:rPr>
          <w:sz w:val="24"/>
          <w:szCs w:val="24"/>
        </w:rPr>
        <w:t>ID 83642</w:t>
      </w:r>
    </w:p>
    <w:p w14:paraId="0C399CE8" w14:textId="77777777" w:rsidR="00A62D6F" w:rsidRPr="00903BE7" w:rsidRDefault="00A62D6F" w:rsidP="00A62D6F">
      <w:pPr>
        <w:pStyle w:val="BodyText"/>
        <w:rPr>
          <w:sz w:val="24"/>
          <w:szCs w:val="24"/>
        </w:rPr>
      </w:pPr>
    </w:p>
    <w:p w14:paraId="5A9858B7" w14:textId="77777777" w:rsidR="0046183D" w:rsidRPr="00903BE7" w:rsidRDefault="0046183D" w:rsidP="00A62D6F">
      <w:pPr>
        <w:pStyle w:val="BodyText"/>
        <w:rPr>
          <w:sz w:val="24"/>
          <w:szCs w:val="24"/>
        </w:rPr>
      </w:pPr>
    </w:p>
    <w:p w14:paraId="2AD61B05" w14:textId="75725B8E" w:rsidR="008078C2" w:rsidRPr="00903BE7" w:rsidRDefault="00A62D6F" w:rsidP="0046183D">
      <w:pPr>
        <w:pStyle w:val="m5864866518502473907msonospacing"/>
        <w:spacing w:before="0" w:beforeAutospacing="0" w:after="0" w:afterAutospacing="0"/>
        <w:jc w:val="both"/>
        <w:rPr>
          <w:rFonts w:ascii="Cambria" w:hAnsi="Cambria"/>
          <w:color w:val="000000"/>
          <w:sz w:val="24"/>
          <w:szCs w:val="24"/>
        </w:rPr>
      </w:pPr>
      <w:r w:rsidRPr="00903BE7">
        <w:rPr>
          <w:rFonts w:ascii="Cambria" w:hAnsi="Cambria"/>
          <w:sz w:val="24"/>
          <w:szCs w:val="24"/>
        </w:rPr>
        <w:t>[</w:t>
      </w:r>
      <w:r w:rsidRPr="00903BE7">
        <w:rPr>
          <w:rFonts w:ascii="Cambria" w:hAnsi="Cambria"/>
          <w:color w:val="000000"/>
          <w:sz w:val="24"/>
          <w:szCs w:val="24"/>
          <w:shd w:val="clear" w:color="auto" w:fill="FFFF00"/>
        </w:rPr>
        <w:t>Name of applicant</w:t>
      </w:r>
      <w:r w:rsidRPr="00903BE7">
        <w:rPr>
          <w:rFonts w:ascii="Cambria" w:hAnsi="Cambria"/>
          <w:color w:val="000000"/>
          <w:sz w:val="24"/>
          <w:szCs w:val="24"/>
        </w:rPr>
        <w:t xml:space="preserve">] </w:t>
      </w:r>
      <w:r w:rsidR="00BB0B71">
        <w:rPr>
          <w:rFonts w:ascii="Cambria" w:hAnsi="Cambria"/>
          <w:color w:val="000000"/>
          <w:sz w:val="24"/>
          <w:szCs w:val="24"/>
        </w:rPr>
        <w:t xml:space="preserve">understands </w:t>
      </w:r>
      <w:r w:rsidR="009811CE">
        <w:rPr>
          <w:rFonts w:ascii="Cambria" w:hAnsi="Cambria"/>
          <w:color w:val="000000"/>
          <w:sz w:val="24"/>
          <w:szCs w:val="24"/>
        </w:rPr>
        <w:t>that</w:t>
      </w:r>
      <w:r w:rsidR="008078C2" w:rsidRPr="00903BE7">
        <w:rPr>
          <w:rFonts w:ascii="Cambria" w:hAnsi="Cambria"/>
          <w:color w:val="000000"/>
          <w:sz w:val="24"/>
          <w:szCs w:val="24"/>
        </w:rPr>
        <w:t xml:space="preserve"> </w:t>
      </w:r>
      <w:r w:rsidR="009811CE">
        <w:rPr>
          <w:rFonts w:ascii="Cambria" w:hAnsi="Cambria"/>
          <w:color w:val="000000"/>
          <w:sz w:val="24"/>
          <w:szCs w:val="24"/>
        </w:rPr>
        <w:t>when using</w:t>
      </w:r>
      <w:r w:rsidR="008078C2" w:rsidRPr="00903BE7">
        <w:rPr>
          <w:rFonts w:ascii="Cambria" w:hAnsi="Cambria"/>
          <w:color w:val="000000"/>
          <w:sz w:val="24"/>
          <w:szCs w:val="24"/>
        </w:rPr>
        <w:t xml:space="preserve"> the 1</w:t>
      </w:r>
      <w:r w:rsidR="001F1FAA">
        <w:rPr>
          <w:rFonts w:ascii="Cambria" w:hAnsi="Cambria"/>
          <w:color w:val="000000"/>
          <w:sz w:val="24"/>
          <w:szCs w:val="24"/>
        </w:rPr>
        <w:t>5</w:t>
      </w:r>
      <w:r w:rsidR="008078C2" w:rsidRPr="00903BE7">
        <w:rPr>
          <w:rFonts w:ascii="Cambria" w:hAnsi="Cambria"/>
          <w:color w:val="000000"/>
          <w:sz w:val="24"/>
          <w:szCs w:val="24"/>
        </w:rPr>
        <w:t>% de minimis indirect cost rate</w:t>
      </w:r>
      <w:r w:rsidR="009811CE">
        <w:rPr>
          <w:rFonts w:ascii="Cambria" w:hAnsi="Cambria"/>
          <w:color w:val="000000"/>
          <w:sz w:val="24"/>
          <w:szCs w:val="24"/>
        </w:rPr>
        <w:t>, the following standards apply</w:t>
      </w:r>
      <w:r w:rsidR="008078C2" w:rsidRPr="00903BE7">
        <w:rPr>
          <w:rFonts w:ascii="Cambria" w:hAnsi="Cambria"/>
          <w:color w:val="000000"/>
          <w:sz w:val="24"/>
          <w:szCs w:val="24"/>
        </w:rPr>
        <w:t>:</w:t>
      </w:r>
    </w:p>
    <w:p w14:paraId="69E4BE71" w14:textId="77777777" w:rsidR="0046183D" w:rsidRPr="00903BE7" w:rsidRDefault="0046183D" w:rsidP="0046183D">
      <w:pPr>
        <w:pStyle w:val="m5864866518502473907msonospacing"/>
        <w:spacing w:before="0" w:beforeAutospacing="0" w:after="0" w:afterAutospacing="0"/>
        <w:jc w:val="both"/>
        <w:rPr>
          <w:rFonts w:ascii="Cambria" w:hAnsi="Cambria"/>
          <w:color w:val="000000"/>
          <w:sz w:val="24"/>
          <w:szCs w:val="24"/>
        </w:rPr>
      </w:pPr>
    </w:p>
    <w:p w14:paraId="3D00F7AF" w14:textId="4BA0A1D3" w:rsidR="0046183D" w:rsidRPr="00903BE7" w:rsidRDefault="008078C2" w:rsidP="00903BE7">
      <w:pPr>
        <w:pStyle w:val="BodyText"/>
        <w:numPr>
          <w:ilvl w:val="0"/>
          <w:numId w:val="2"/>
        </w:numPr>
        <w:spacing w:line="247" w:lineRule="auto"/>
        <w:ind w:right="360"/>
        <w:jc w:val="both"/>
        <w:rPr>
          <w:rFonts w:eastAsiaTheme="minorHAnsi" w:cs="Calibri"/>
          <w:sz w:val="24"/>
          <w:szCs w:val="24"/>
        </w:rPr>
      </w:pPr>
      <w:r w:rsidRPr="00903BE7">
        <w:rPr>
          <w:rFonts w:eastAsiaTheme="minorHAnsi" w:cs="Calibri"/>
          <w:sz w:val="24"/>
          <w:szCs w:val="24"/>
        </w:rPr>
        <w:t>The applicant does not have a current Federally</w:t>
      </w:r>
      <w:r w:rsidR="006A2006">
        <w:rPr>
          <w:rFonts w:eastAsiaTheme="minorHAnsi" w:cs="Calibri"/>
          <w:sz w:val="24"/>
          <w:szCs w:val="24"/>
        </w:rPr>
        <w:t xml:space="preserve"> </w:t>
      </w:r>
      <w:r w:rsidRPr="00903BE7">
        <w:rPr>
          <w:rFonts w:eastAsiaTheme="minorHAnsi" w:cs="Calibri"/>
          <w:sz w:val="24"/>
          <w:szCs w:val="24"/>
        </w:rPr>
        <w:t>approved indirect cost rate agreement.</w:t>
      </w:r>
    </w:p>
    <w:p w14:paraId="47AEA4BE" w14:textId="77777777" w:rsidR="0046183D" w:rsidRPr="00903BE7" w:rsidRDefault="0046183D" w:rsidP="0046183D">
      <w:pPr>
        <w:pStyle w:val="BodyText"/>
        <w:spacing w:line="247" w:lineRule="auto"/>
        <w:ind w:left="720" w:right="54"/>
        <w:jc w:val="both"/>
        <w:rPr>
          <w:rFonts w:eastAsiaTheme="minorHAnsi" w:cs="Calibri"/>
          <w:sz w:val="24"/>
          <w:szCs w:val="24"/>
        </w:rPr>
      </w:pPr>
    </w:p>
    <w:p w14:paraId="6B968179" w14:textId="2E62F6D9" w:rsidR="0046183D" w:rsidRPr="00903BE7" w:rsidRDefault="008078C2" w:rsidP="00903BE7">
      <w:pPr>
        <w:pStyle w:val="BodyText"/>
        <w:numPr>
          <w:ilvl w:val="0"/>
          <w:numId w:val="2"/>
        </w:numPr>
        <w:spacing w:line="247" w:lineRule="auto"/>
        <w:ind w:right="360"/>
        <w:jc w:val="both"/>
        <w:rPr>
          <w:rFonts w:eastAsiaTheme="minorHAnsi" w:cs="Calibri"/>
          <w:sz w:val="24"/>
          <w:szCs w:val="24"/>
        </w:rPr>
      </w:pPr>
      <w:r w:rsidRPr="00903BE7">
        <w:rPr>
          <w:rFonts w:eastAsiaTheme="minorHAnsi" w:cs="Calibri"/>
          <w:sz w:val="24"/>
          <w:szCs w:val="24"/>
        </w:rPr>
        <w:t>The de minimis rate approved will be applied to the MTDC.</w:t>
      </w:r>
      <w:r w:rsidR="007E0892" w:rsidRPr="00903BE7">
        <w:rPr>
          <w:rFonts w:eastAsiaTheme="minorHAnsi" w:cs="Calibri"/>
          <w:sz w:val="24"/>
          <w:szCs w:val="24"/>
        </w:rPr>
        <w:t xml:space="preserve">  T</w:t>
      </w:r>
      <w:r w:rsidRPr="00903BE7">
        <w:rPr>
          <w:rFonts w:eastAsiaTheme="minorHAnsi" w:cs="Calibri"/>
          <w:sz w:val="24"/>
          <w:szCs w:val="24"/>
        </w:rPr>
        <w:t xml:space="preserve">his base includes all </w:t>
      </w:r>
      <w:r w:rsidR="0046183D" w:rsidRPr="00903BE7">
        <w:rPr>
          <w:rFonts w:eastAsiaTheme="minorHAnsi" w:cs="Calibri"/>
          <w:sz w:val="24"/>
          <w:szCs w:val="24"/>
        </w:rPr>
        <w:t>direct</w:t>
      </w:r>
      <w:r w:rsidR="007E0892" w:rsidRPr="00903BE7">
        <w:rPr>
          <w:rFonts w:eastAsiaTheme="minorHAnsi" w:cs="Calibri"/>
          <w:sz w:val="24"/>
          <w:szCs w:val="24"/>
        </w:rPr>
        <w:t xml:space="preserve"> s</w:t>
      </w:r>
      <w:r w:rsidRPr="00903BE7">
        <w:rPr>
          <w:rFonts w:eastAsiaTheme="minorHAnsi" w:cs="Calibri"/>
          <w:sz w:val="24"/>
          <w:szCs w:val="24"/>
        </w:rPr>
        <w:t>alaries and wages, applicable fringe benefits, materials and supplies, services, travel, and up</w:t>
      </w:r>
      <w:r w:rsidR="0046183D" w:rsidRPr="00903BE7">
        <w:rPr>
          <w:rFonts w:eastAsiaTheme="minorHAnsi" w:cs="Calibri"/>
          <w:sz w:val="24"/>
          <w:szCs w:val="24"/>
        </w:rPr>
        <w:t xml:space="preserve"> </w:t>
      </w:r>
      <w:r w:rsidRPr="00903BE7">
        <w:rPr>
          <w:rFonts w:eastAsiaTheme="minorHAnsi" w:cs="Calibri"/>
          <w:sz w:val="24"/>
          <w:szCs w:val="24"/>
        </w:rPr>
        <w:t>to the first $</w:t>
      </w:r>
      <w:r w:rsidR="009A7AEF">
        <w:rPr>
          <w:rFonts w:eastAsiaTheme="minorHAnsi" w:cs="Calibri"/>
          <w:sz w:val="24"/>
          <w:szCs w:val="24"/>
        </w:rPr>
        <w:t>50</w:t>
      </w:r>
      <w:r w:rsidRPr="00903BE7">
        <w:rPr>
          <w:rFonts w:eastAsiaTheme="minorHAnsi" w:cs="Calibri"/>
          <w:sz w:val="24"/>
          <w:szCs w:val="24"/>
        </w:rPr>
        <w:t>,000 of each subaward.</w:t>
      </w:r>
    </w:p>
    <w:p w14:paraId="63AA9698" w14:textId="77777777" w:rsidR="0046183D" w:rsidRPr="00903BE7" w:rsidRDefault="0046183D" w:rsidP="0046183D">
      <w:pPr>
        <w:pStyle w:val="BodyText"/>
        <w:spacing w:line="247" w:lineRule="auto"/>
        <w:ind w:left="720" w:right="542"/>
        <w:jc w:val="both"/>
        <w:rPr>
          <w:rFonts w:eastAsiaTheme="minorHAnsi" w:cs="Calibri"/>
          <w:sz w:val="24"/>
          <w:szCs w:val="24"/>
        </w:rPr>
      </w:pPr>
    </w:p>
    <w:p w14:paraId="6A5A1670" w14:textId="7D4265AA" w:rsidR="0046183D" w:rsidRPr="00903BE7" w:rsidRDefault="008078C2" w:rsidP="00903BE7">
      <w:pPr>
        <w:pStyle w:val="BodyText"/>
        <w:numPr>
          <w:ilvl w:val="0"/>
          <w:numId w:val="2"/>
        </w:numPr>
        <w:spacing w:line="247" w:lineRule="auto"/>
        <w:ind w:right="360"/>
        <w:jc w:val="both"/>
        <w:rPr>
          <w:rFonts w:eastAsiaTheme="minorHAnsi" w:cs="Calibri"/>
          <w:sz w:val="24"/>
          <w:szCs w:val="24"/>
        </w:rPr>
      </w:pPr>
      <w:r w:rsidRPr="00903BE7">
        <w:rPr>
          <w:rFonts w:eastAsiaTheme="minorHAnsi" w:cs="Calibri"/>
          <w:sz w:val="24"/>
          <w:szCs w:val="24"/>
        </w:rPr>
        <w:t>MTDC excludes equipment, capital expenditures, charges for patient care, rental costs, tuition</w:t>
      </w:r>
      <w:r w:rsidR="0046183D" w:rsidRPr="00903BE7">
        <w:rPr>
          <w:rFonts w:eastAsiaTheme="minorHAnsi" w:cs="Calibri"/>
          <w:sz w:val="24"/>
          <w:szCs w:val="24"/>
        </w:rPr>
        <w:t xml:space="preserve"> </w:t>
      </w:r>
      <w:r w:rsidRPr="00903BE7">
        <w:rPr>
          <w:rFonts w:eastAsiaTheme="minorHAnsi" w:cs="Calibri"/>
          <w:sz w:val="24"/>
          <w:szCs w:val="24"/>
        </w:rPr>
        <w:t>remission, scholarships and fellowships, participant support costs, and the portion of each</w:t>
      </w:r>
      <w:r w:rsidR="0046183D" w:rsidRPr="00903BE7">
        <w:rPr>
          <w:rFonts w:eastAsiaTheme="minorHAnsi" w:cs="Calibri"/>
          <w:sz w:val="24"/>
          <w:szCs w:val="24"/>
        </w:rPr>
        <w:t xml:space="preserve"> </w:t>
      </w:r>
      <w:r w:rsidRPr="00903BE7">
        <w:rPr>
          <w:rFonts w:eastAsiaTheme="minorHAnsi" w:cs="Calibri"/>
          <w:sz w:val="24"/>
          <w:szCs w:val="24"/>
        </w:rPr>
        <w:t>subaward in excess of $</w:t>
      </w:r>
      <w:r w:rsidR="009A7AEF">
        <w:rPr>
          <w:rFonts w:eastAsiaTheme="minorHAnsi" w:cs="Calibri"/>
          <w:sz w:val="24"/>
          <w:szCs w:val="24"/>
        </w:rPr>
        <w:t>50</w:t>
      </w:r>
      <w:r w:rsidRPr="00903BE7">
        <w:rPr>
          <w:rFonts w:eastAsiaTheme="minorHAnsi" w:cs="Calibri"/>
          <w:sz w:val="24"/>
          <w:szCs w:val="24"/>
        </w:rPr>
        <w:t>,000.</w:t>
      </w:r>
      <w:r w:rsidR="007E0892" w:rsidRPr="00903BE7">
        <w:rPr>
          <w:rFonts w:eastAsiaTheme="minorHAnsi" w:cs="Calibri"/>
          <w:sz w:val="24"/>
          <w:szCs w:val="24"/>
        </w:rPr>
        <w:t xml:space="preserve">  </w:t>
      </w:r>
      <w:r w:rsidRPr="00903BE7">
        <w:rPr>
          <w:rFonts w:eastAsiaTheme="minorHAnsi" w:cs="Calibri"/>
          <w:sz w:val="24"/>
          <w:szCs w:val="24"/>
        </w:rPr>
        <w:t>Other items may only be excluded when necessary to avoid a</w:t>
      </w:r>
      <w:r w:rsidR="0046183D" w:rsidRPr="00903BE7">
        <w:rPr>
          <w:rFonts w:eastAsiaTheme="minorHAnsi" w:cs="Calibri"/>
          <w:sz w:val="24"/>
          <w:szCs w:val="24"/>
        </w:rPr>
        <w:t xml:space="preserve"> </w:t>
      </w:r>
      <w:r w:rsidRPr="00903BE7">
        <w:rPr>
          <w:rFonts w:eastAsiaTheme="minorHAnsi" w:cs="Calibri"/>
          <w:sz w:val="24"/>
          <w:szCs w:val="24"/>
        </w:rPr>
        <w:t>serious inequity in the distribution of indirect costs, and with the approval of the cognizant</w:t>
      </w:r>
      <w:r w:rsidR="0046183D" w:rsidRPr="00903BE7">
        <w:rPr>
          <w:rFonts w:eastAsiaTheme="minorHAnsi" w:cs="Calibri"/>
          <w:sz w:val="24"/>
          <w:szCs w:val="24"/>
        </w:rPr>
        <w:t xml:space="preserve"> </w:t>
      </w:r>
      <w:r w:rsidRPr="00903BE7">
        <w:rPr>
          <w:rFonts w:eastAsiaTheme="minorHAnsi" w:cs="Calibri"/>
          <w:sz w:val="24"/>
          <w:szCs w:val="24"/>
        </w:rPr>
        <w:t>agency.</w:t>
      </w:r>
    </w:p>
    <w:p w14:paraId="6003EC8C" w14:textId="77777777" w:rsidR="0046183D" w:rsidRPr="00903BE7" w:rsidRDefault="0046183D" w:rsidP="0046183D">
      <w:pPr>
        <w:pStyle w:val="BodyText"/>
        <w:spacing w:line="247" w:lineRule="auto"/>
        <w:ind w:left="720" w:right="542"/>
        <w:jc w:val="both"/>
        <w:rPr>
          <w:rFonts w:eastAsiaTheme="minorHAnsi" w:cs="Calibri"/>
          <w:sz w:val="24"/>
          <w:szCs w:val="24"/>
        </w:rPr>
      </w:pPr>
    </w:p>
    <w:p w14:paraId="1FB2F7F3" w14:textId="226035FD" w:rsidR="0046183D" w:rsidRDefault="008078C2" w:rsidP="00903BE7">
      <w:pPr>
        <w:pStyle w:val="BodyText"/>
        <w:numPr>
          <w:ilvl w:val="0"/>
          <w:numId w:val="2"/>
        </w:numPr>
        <w:spacing w:line="247" w:lineRule="auto"/>
        <w:ind w:right="360"/>
        <w:jc w:val="both"/>
        <w:rPr>
          <w:rFonts w:eastAsiaTheme="minorHAnsi" w:cs="Calibri"/>
          <w:sz w:val="24"/>
          <w:szCs w:val="24"/>
        </w:rPr>
      </w:pPr>
      <w:r w:rsidRPr="00903BE7">
        <w:rPr>
          <w:rFonts w:eastAsiaTheme="minorHAnsi" w:cs="Calibri"/>
          <w:sz w:val="24"/>
          <w:szCs w:val="24"/>
        </w:rPr>
        <w:t>The project costs will be consistently charged as either indirect or direct and will not be</w:t>
      </w:r>
      <w:r w:rsidR="0046183D" w:rsidRPr="00903BE7">
        <w:rPr>
          <w:rFonts w:eastAsiaTheme="minorHAnsi" w:cs="Calibri"/>
          <w:sz w:val="24"/>
          <w:szCs w:val="24"/>
        </w:rPr>
        <w:t xml:space="preserve"> </w:t>
      </w:r>
      <w:r w:rsidRPr="00903BE7">
        <w:rPr>
          <w:rFonts w:eastAsiaTheme="minorHAnsi" w:cs="Calibri"/>
          <w:sz w:val="24"/>
          <w:szCs w:val="24"/>
        </w:rPr>
        <w:t>double charged or inconsistently charged as both.</w:t>
      </w:r>
    </w:p>
    <w:p w14:paraId="6F7C7958" w14:textId="77777777" w:rsidR="0085599B" w:rsidRDefault="0085599B" w:rsidP="0085599B">
      <w:pPr>
        <w:pStyle w:val="BodyText"/>
        <w:spacing w:line="247" w:lineRule="auto"/>
        <w:ind w:right="360"/>
        <w:jc w:val="both"/>
        <w:rPr>
          <w:rFonts w:eastAsiaTheme="minorHAnsi" w:cs="Calibri"/>
          <w:sz w:val="24"/>
          <w:szCs w:val="24"/>
        </w:rPr>
      </w:pPr>
    </w:p>
    <w:p w14:paraId="4CC5A058" w14:textId="6F6E66CC" w:rsidR="0085599B" w:rsidRPr="0085599B" w:rsidRDefault="0085599B" w:rsidP="0085599B">
      <w:pPr>
        <w:pStyle w:val="BodyText"/>
        <w:numPr>
          <w:ilvl w:val="0"/>
          <w:numId w:val="2"/>
        </w:numPr>
        <w:spacing w:line="247" w:lineRule="auto"/>
        <w:ind w:right="360"/>
        <w:jc w:val="both"/>
        <w:rPr>
          <w:rFonts w:eastAsiaTheme="minorHAnsi" w:cs="Calibri"/>
          <w:sz w:val="24"/>
          <w:szCs w:val="24"/>
        </w:rPr>
      </w:pPr>
      <w:r w:rsidRPr="0085599B">
        <w:rPr>
          <w:rFonts w:eastAsiaTheme="minorHAnsi" w:cs="Calibri"/>
          <w:sz w:val="24"/>
          <w:szCs w:val="24"/>
        </w:rPr>
        <w:t xml:space="preserve">Once elected, the </w:t>
      </w:r>
      <w:r>
        <w:rPr>
          <w:rFonts w:eastAsiaTheme="minorHAnsi" w:cs="Calibri"/>
          <w:sz w:val="24"/>
          <w:szCs w:val="24"/>
        </w:rPr>
        <w:t>subgrantee</w:t>
      </w:r>
      <w:r w:rsidRPr="0085599B">
        <w:rPr>
          <w:rFonts w:eastAsiaTheme="minorHAnsi" w:cs="Calibri"/>
          <w:sz w:val="24"/>
          <w:szCs w:val="24"/>
        </w:rPr>
        <w:t xml:space="preserve"> must use the de minimis rate for all Federal awards until the recipient or subrecipient chooses to receive a negotiated rate.</w:t>
      </w:r>
    </w:p>
    <w:p w14:paraId="5E1DD08D" w14:textId="77777777" w:rsidR="0046183D" w:rsidRPr="00903BE7" w:rsidRDefault="0046183D" w:rsidP="0085599B">
      <w:pPr>
        <w:pStyle w:val="BodyText"/>
        <w:spacing w:line="247" w:lineRule="auto"/>
        <w:ind w:left="720" w:right="360"/>
        <w:jc w:val="both"/>
        <w:rPr>
          <w:rFonts w:eastAsiaTheme="minorHAnsi" w:cs="Calibri"/>
          <w:sz w:val="24"/>
          <w:szCs w:val="24"/>
        </w:rPr>
      </w:pPr>
    </w:p>
    <w:p w14:paraId="18764093" w14:textId="51E640C7" w:rsidR="00A62D6F" w:rsidRPr="00903BE7" w:rsidRDefault="008078C2" w:rsidP="00903BE7">
      <w:pPr>
        <w:pStyle w:val="BodyText"/>
        <w:numPr>
          <w:ilvl w:val="0"/>
          <w:numId w:val="2"/>
        </w:numPr>
        <w:spacing w:line="247" w:lineRule="auto"/>
        <w:ind w:right="360"/>
        <w:jc w:val="both"/>
        <w:rPr>
          <w:rFonts w:eastAsiaTheme="minorHAnsi" w:cs="Calibri"/>
          <w:sz w:val="24"/>
          <w:szCs w:val="24"/>
        </w:rPr>
      </w:pPr>
      <w:r w:rsidRPr="00903BE7">
        <w:rPr>
          <w:rFonts w:eastAsiaTheme="minorHAnsi" w:cs="Calibri"/>
          <w:sz w:val="24"/>
          <w:szCs w:val="24"/>
        </w:rPr>
        <w:t>The proper use and application of the de minimis rate is the responsibility of the applicant.</w:t>
      </w:r>
      <w:r w:rsidR="009757AD">
        <w:rPr>
          <w:rFonts w:eastAsiaTheme="minorHAnsi" w:cs="Calibri"/>
          <w:sz w:val="24"/>
          <w:szCs w:val="24"/>
        </w:rPr>
        <w:t xml:space="preserve">  </w:t>
      </w:r>
      <w:r w:rsidRPr="00903BE7">
        <w:rPr>
          <w:rFonts w:eastAsiaTheme="minorHAnsi" w:cs="Calibri"/>
          <w:sz w:val="24"/>
          <w:szCs w:val="24"/>
        </w:rPr>
        <w:t>PGR may perform a financial monitoring review to ensure compliance with 2 CFR Part 200.</w:t>
      </w:r>
    </w:p>
    <w:p w14:paraId="11B5517D" w14:textId="77777777" w:rsidR="008078C2" w:rsidRPr="00903BE7" w:rsidRDefault="008078C2" w:rsidP="0046183D">
      <w:pPr>
        <w:pStyle w:val="BodyText"/>
        <w:spacing w:line="247" w:lineRule="auto"/>
        <w:ind w:left="720" w:right="542"/>
        <w:jc w:val="both"/>
        <w:rPr>
          <w:sz w:val="24"/>
          <w:szCs w:val="24"/>
        </w:rPr>
      </w:pPr>
    </w:p>
    <w:p w14:paraId="19489A7F" w14:textId="77777777" w:rsidR="0046183D" w:rsidRPr="00903BE7" w:rsidRDefault="0046183D" w:rsidP="0046183D">
      <w:pPr>
        <w:pStyle w:val="BodyText"/>
        <w:rPr>
          <w:sz w:val="24"/>
          <w:szCs w:val="24"/>
        </w:rPr>
      </w:pPr>
    </w:p>
    <w:p w14:paraId="03086BA2" w14:textId="115BB9D4" w:rsidR="00A62D6F" w:rsidRPr="00903BE7" w:rsidRDefault="00A62D6F" w:rsidP="0046183D">
      <w:pPr>
        <w:pStyle w:val="BodyText"/>
        <w:rPr>
          <w:sz w:val="24"/>
          <w:szCs w:val="24"/>
        </w:rPr>
      </w:pPr>
      <w:r w:rsidRPr="00903BE7">
        <w:rPr>
          <w:sz w:val="24"/>
          <w:szCs w:val="24"/>
        </w:rPr>
        <w:t>Sincerely,</w:t>
      </w:r>
    </w:p>
    <w:p w14:paraId="7515CF82" w14:textId="07F3AC06" w:rsidR="00A62D6F" w:rsidRPr="00903BE7" w:rsidRDefault="00A62D6F" w:rsidP="0046183D">
      <w:pPr>
        <w:pStyle w:val="BodyText"/>
        <w:rPr>
          <w:sz w:val="24"/>
          <w:szCs w:val="24"/>
        </w:rPr>
      </w:pPr>
    </w:p>
    <w:p w14:paraId="2A1B08B2" w14:textId="77777777" w:rsidR="008078C2" w:rsidRPr="00903BE7" w:rsidRDefault="008078C2" w:rsidP="0046183D">
      <w:pPr>
        <w:pStyle w:val="BodyText"/>
        <w:rPr>
          <w:sz w:val="24"/>
          <w:szCs w:val="24"/>
        </w:rPr>
      </w:pPr>
    </w:p>
    <w:p w14:paraId="60C6AE21" w14:textId="77777777" w:rsidR="00A62D6F" w:rsidRPr="00903BE7" w:rsidRDefault="00A62D6F" w:rsidP="0046183D">
      <w:pPr>
        <w:pStyle w:val="BodyText"/>
        <w:rPr>
          <w:sz w:val="24"/>
          <w:szCs w:val="24"/>
        </w:rPr>
      </w:pPr>
    </w:p>
    <w:p w14:paraId="41131B27" w14:textId="77777777" w:rsidR="00A62D6F" w:rsidRPr="00903BE7" w:rsidRDefault="00A62D6F" w:rsidP="00903BE7">
      <w:pPr>
        <w:pStyle w:val="BodyText"/>
        <w:rPr>
          <w:sz w:val="24"/>
          <w:szCs w:val="24"/>
        </w:rPr>
      </w:pPr>
      <w:r w:rsidRPr="00903BE7">
        <w:rPr>
          <w:sz w:val="24"/>
          <w:szCs w:val="24"/>
        </w:rPr>
        <w:t>[</w:t>
      </w:r>
      <w:r w:rsidRPr="00903BE7">
        <w:rPr>
          <w:color w:val="000000"/>
          <w:sz w:val="24"/>
          <w:szCs w:val="24"/>
          <w:shd w:val="clear" w:color="auto" w:fill="FFFF00"/>
        </w:rPr>
        <w:t>Applicant</w:t>
      </w:r>
      <w:r w:rsidRPr="00903BE7">
        <w:rPr>
          <w:color w:val="000000"/>
          <w:spacing w:val="-5"/>
          <w:sz w:val="24"/>
          <w:szCs w:val="24"/>
          <w:shd w:val="clear" w:color="auto" w:fill="FFFF00"/>
        </w:rPr>
        <w:t xml:space="preserve"> </w:t>
      </w:r>
      <w:r w:rsidRPr="00903BE7">
        <w:rPr>
          <w:color w:val="000000"/>
          <w:sz w:val="24"/>
          <w:szCs w:val="24"/>
          <w:shd w:val="clear" w:color="auto" w:fill="FFFF00"/>
        </w:rPr>
        <w:t>Authorizing</w:t>
      </w:r>
      <w:r w:rsidRPr="00903BE7">
        <w:rPr>
          <w:color w:val="000000"/>
          <w:spacing w:val="-5"/>
          <w:sz w:val="24"/>
          <w:szCs w:val="24"/>
          <w:shd w:val="clear" w:color="auto" w:fill="FFFF00"/>
        </w:rPr>
        <w:t xml:space="preserve"> </w:t>
      </w:r>
      <w:r w:rsidRPr="00903BE7">
        <w:rPr>
          <w:color w:val="000000"/>
          <w:sz w:val="24"/>
          <w:szCs w:val="24"/>
          <w:shd w:val="clear" w:color="auto" w:fill="FFFF00"/>
        </w:rPr>
        <w:t>Official</w:t>
      </w:r>
      <w:r w:rsidRPr="00903BE7">
        <w:rPr>
          <w:color w:val="000000"/>
          <w:sz w:val="24"/>
          <w:szCs w:val="24"/>
        </w:rPr>
        <w:t>]</w:t>
      </w:r>
    </w:p>
    <w:p w14:paraId="3B498839" w14:textId="77777777" w:rsidR="009B3EE0" w:rsidRPr="00903BE7" w:rsidRDefault="009B3EE0" w:rsidP="0046183D">
      <w:pPr>
        <w:spacing w:after="0"/>
        <w:rPr>
          <w:szCs w:val="24"/>
        </w:rPr>
      </w:pPr>
    </w:p>
    <w:sectPr w:rsidR="009B3EE0" w:rsidRPr="00903BE7" w:rsidSect="00903BE7">
      <w:footerReference w:type="default" r:id="rId7"/>
      <w:pgSz w:w="12240" w:h="15840"/>
      <w:pgMar w:top="864" w:right="1080" w:bottom="720" w:left="108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3E5C" w14:textId="77777777" w:rsidR="001172F8" w:rsidRDefault="00661F91">
      <w:pPr>
        <w:spacing w:after="0" w:line="240" w:lineRule="auto"/>
      </w:pPr>
      <w:r>
        <w:separator/>
      </w:r>
    </w:p>
  </w:endnote>
  <w:endnote w:type="continuationSeparator" w:id="0">
    <w:p w14:paraId="2814B53D" w14:textId="77777777" w:rsidR="001172F8" w:rsidRDefault="0066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2A27" w14:textId="2FE8FAF0" w:rsidR="009071C1" w:rsidRDefault="009071C1" w:rsidP="008078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9E86" w14:textId="77777777" w:rsidR="001172F8" w:rsidRDefault="00661F91">
      <w:pPr>
        <w:spacing w:after="0" w:line="240" w:lineRule="auto"/>
      </w:pPr>
      <w:r>
        <w:separator/>
      </w:r>
    </w:p>
  </w:footnote>
  <w:footnote w:type="continuationSeparator" w:id="0">
    <w:p w14:paraId="066B6655" w14:textId="77777777" w:rsidR="001172F8" w:rsidRDefault="00661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64542"/>
    <w:multiLevelType w:val="hybridMultilevel"/>
    <w:tmpl w:val="67545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46430"/>
    <w:multiLevelType w:val="hybridMultilevel"/>
    <w:tmpl w:val="B9EAD820"/>
    <w:lvl w:ilvl="0" w:tplc="316A11D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5360550">
    <w:abstractNumId w:val="1"/>
  </w:num>
  <w:num w:numId="2" w16cid:durableId="153985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6F"/>
    <w:rsid w:val="001172F8"/>
    <w:rsid w:val="001F1FAA"/>
    <w:rsid w:val="0046183D"/>
    <w:rsid w:val="004C7C58"/>
    <w:rsid w:val="00614E36"/>
    <w:rsid w:val="00661F91"/>
    <w:rsid w:val="006A2006"/>
    <w:rsid w:val="007E0892"/>
    <w:rsid w:val="008078C2"/>
    <w:rsid w:val="0085599B"/>
    <w:rsid w:val="008A0436"/>
    <w:rsid w:val="00903BE7"/>
    <w:rsid w:val="009071C1"/>
    <w:rsid w:val="009757AD"/>
    <w:rsid w:val="009811CE"/>
    <w:rsid w:val="009A7AEF"/>
    <w:rsid w:val="009B3EE0"/>
    <w:rsid w:val="00A62D6F"/>
    <w:rsid w:val="00B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97A9"/>
  <w15:chartTrackingRefBased/>
  <w15:docId w15:val="{3AB89EA7-532A-4528-A49D-CAC0FABB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D6F"/>
    <w:pPr>
      <w:spacing w:after="200" w:line="276" w:lineRule="auto"/>
    </w:pPr>
    <w:rPr>
      <w:rFonts w:eastAsiaTheme="minorEastAsia"/>
      <w:sz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D6F"/>
    <w:pPr>
      <w:spacing w:after="0" w:line="240" w:lineRule="auto"/>
      <w:jc w:val="both"/>
      <w:outlineLvl w:val="1"/>
    </w:pPr>
    <w:rPr>
      <w:b/>
      <w:color w:val="44546A" w:themeColor="text2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5864866518502473907msonospacing">
    <w:name w:val="m_5864866518502473907msonospacing"/>
    <w:basedOn w:val="Normal"/>
    <w:rsid w:val="00A62D6F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A6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D6F"/>
    <w:rPr>
      <w:rFonts w:eastAsiaTheme="minorEastAsia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62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D6F"/>
    <w:rPr>
      <w:rFonts w:eastAsiaTheme="minorEastAsia"/>
      <w:sz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A62D6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A62D6F"/>
    <w:rPr>
      <w:rFonts w:ascii="Cambria" w:eastAsia="Cambria" w:hAnsi="Cambria" w:cs="Cambria"/>
      <w:sz w:val="23"/>
      <w:szCs w:val="23"/>
    </w:rPr>
  </w:style>
  <w:style w:type="character" w:customStyle="1" w:styleId="Heading2Char">
    <w:name w:val="Heading 2 Char"/>
    <w:basedOn w:val="DefaultParagraphFont"/>
    <w:link w:val="Heading2"/>
    <w:uiPriority w:val="9"/>
    <w:rsid w:val="00A62D6F"/>
    <w:rPr>
      <w:rFonts w:eastAsiaTheme="minorEastAsia"/>
      <w:b/>
      <w:color w:val="44546A" w:themeColor="text2"/>
      <w:sz w:val="30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461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5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Police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Kifer, Misty</dc:creator>
  <cp:keywords/>
  <dc:description/>
  <cp:lastModifiedBy>Kifer, Misty</cp:lastModifiedBy>
  <cp:revision>4</cp:revision>
  <dcterms:created xsi:type="dcterms:W3CDTF">2025-04-03T16:44:00Z</dcterms:created>
  <dcterms:modified xsi:type="dcterms:W3CDTF">2025-04-03T18:33:00Z</dcterms:modified>
</cp:coreProperties>
</file>